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6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148"/>
        <w:gridCol w:w="1287"/>
        <w:gridCol w:w="4175"/>
      </w:tblGrid>
      <w:tr>
        <w:trPr/>
        <w:tc>
          <w:tcPr>
            <w:tcW w:w="9636" w:type="dxa"/>
            <w:gridSpan w:val="4"/>
            <w:tcBorders/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uto" w:line="180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[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별표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2]</w:t>
            </w: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9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9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  <w:t>업무협약서 예시문안</w:t>
            </w:r>
          </w:p>
          <w:p>
            <w:pPr>
              <w:pStyle w:val="HWP0"/>
              <w:pBdr/>
              <w:bidi w:val="0"/>
              <w:spacing w:lineRule="auto" w:line="360" w:before="0" w:after="0"/>
              <w:ind w:hanging="0" w:left="0" w:right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8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9"/>
                <w:w w:val="100"/>
                <w:position w:val="0"/>
                <w:sz w:val="36"/>
                <w:sz w:val="36"/>
                <w:u w:val="singl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제목</w:t>
            </w:r>
          </w:p>
        </w:tc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74" w:left="474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</w:t>
            </w:r>
            <w:r>
              <w:rPr>
                <w:rFonts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와 </w:t>
            </w:r>
            <w:r>
              <w:rPr>
                <w:rFonts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B</w:t>
            </w:r>
            <w:r>
              <w:rPr>
                <w:rFonts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상호협력을 위한 업무협약서</w:t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와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B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는 상호 발전을 위하여 긴밀한 협조가 필요하다는 점을 인식하고 다음과 같이 양해각서를 체결한다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총칙조항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8" w:before="8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80" w:after="0"/>
              <w:ind w:hanging="643" w:left="643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목적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양해각서는 양 기관이 상호 발전 및 협력관계를 증진시키기 위해 필요한 기본적인 사항을 규정함을 목적으로 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80" w:after="0"/>
              <w:ind w:hanging="628" w:left="62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기본 운영원칙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 기관은 상호 협력함에 있어 당해 기관의 제 규정을 준수하고 상호 호혜적인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교류 및 협력관계를 유지한다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pBdr/>
              <w:bidi w:val="0"/>
              <w:spacing w:lineRule="auto" w:line="288" w:before="80" w:after="0"/>
              <w:ind w:hanging="628" w:left="62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실체조항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협력분야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 기관이 추진하는 협력 사업의 내용은 다음과 같으며 구체적인 사항은 상호 협의에 의하여 결정한다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643" w:left="643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인력 활용 및 교류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 기관은 필요한 경우 상호 협의하여 연구요원 등의 활용 및 교류를 할 수 있으며 방법은 양 기관의 규정에 따른다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622" w:left="622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학술정보 교류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양 기관은 학술 및 기술정보의 원활한 교류를 통해 긴밀한 협조관계를 유지하며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학술 및 기술정보의 공동 활용에 적극 노력한다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자문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 기관은 상호 간 업무상 자문에 성실히 응한다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필요한 사항에 대해서는 양 기관이 상호 협의하여 결정한다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pBdr/>
              <w:bidi w:val="0"/>
              <w:spacing w:lineRule="auto" w:line="288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해석조항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4" w:before="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554" w:left="554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해석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양해각서에 명시되지 않은 사항과 양해각서의 조문 해석이 서로 다른 경우에는 상호 협의하여 결정한다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pBdr/>
              <w:bidi w:val="0"/>
              <w:spacing w:lineRule="auto" w:line="180" w:before="0" w:after="0"/>
              <w:ind w:hanging="554" w:left="554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효력 및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해지 조항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8" w:before="6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60" w:after="0"/>
              <w:ind w:hanging="554" w:left="554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효력 및 유효기간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①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협약은 양 기관의 협약 당사자가 서명한 날부터 효력이 발생한다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6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②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협약의 유효기간은 효력이 발생한 날부터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년으로 하며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유효기간 종료일에 자동 종료된다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60" w:after="0"/>
              <w:ind w:hanging="400" w:left="40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③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협약의 필요성이 상실되는 경우에는 상호 협의하여 조기 종료할 수 있으며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연장이 필요한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경우 상대측에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개월 이전에 서면으로 통보하거나 상호 협의하여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단위로 연장할 수 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pBdr/>
              <w:bidi w:val="0"/>
              <w:spacing w:lineRule="auto" w:line="288" w:before="60" w:after="0"/>
              <w:ind w:hanging="400" w:left="40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개정조항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4" w:before="0" w:after="0"/>
              <w:ind w:hanging="1382" w:left="1382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382" w:left="1382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개정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협약의 내용은 상호 협의에 의하여 개정할 수 있다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pBdr/>
              <w:bidi w:val="0"/>
              <w:spacing w:lineRule="auto" w:line="324" w:before="0" w:after="0"/>
              <w:ind w:hanging="1382" w:left="1382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부칙</w:t>
            </w:r>
          </w:p>
        </w:tc>
        <w:tc>
          <w:tcPr>
            <w:tcW w:w="86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4" w:before="80" w:after="0"/>
              <w:ind w:hanging="1382" w:left="1382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80" w:before="80" w:after="0"/>
              <w:ind w:hanging="748" w:left="7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비밀유지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 기관은 상호 협력 업무를 수행함에 있어 취득한 정보에 대하여는 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자에게 제공하거나 공개하지 아니한다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180" w:before="80" w:after="0"/>
              <w:ind w:hanging="848" w:left="848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12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비용부담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업무협력을 위해 소요되는 비용은 상호 협의하여 결정한다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180" w:before="80" w:after="0"/>
              <w:ind w:hanging="554" w:left="554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13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양해각서의 내용을 효과적으로 운영하기 위하여 상호 협의 하에 연락담당자를 둔다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pBdr/>
              <w:bidi w:val="0"/>
              <w:spacing w:lineRule="auto" w:line="180" w:before="80" w:after="0"/>
              <w:ind w:hanging="554" w:left="554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4174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75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174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체결기관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87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75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B(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상대기관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4174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체결권자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87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75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체결권자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4174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87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75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left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1133" w:top="1409" w:footer="566" w:bottom="84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굴림">
    <w:charset w:val="01"/>
    <w:family w:val="roman"/>
    <w:pitch w:val="variable"/>
  </w:font>
  <w:font w:name="바탕">
    <w:charset w:val="01"/>
    <w:family w:val="roman"/>
    <w:pitch w:val="variable"/>
  </w:font>
  <w:font w:name="HY헤드라인M">
    <w:charset w:val="01"/>
    <w:family w:val="roman"/>
    <w:pitch w:val="variable"/>
  </w:font>
  <w:font w:name="휴먼명조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282828"/>
      <w:spacing w:val="8"/>
      <w:w w:val="100"/>
      <w:sz w:val="28"/>
      <w:u w:val="none"/>
      <w:em w:val="none"/>
    </w:rPr>
  </w:style>
  <w:style w:type="character" w:styleId="HWP8">
    <w:name w:val="HWP  8"/>
    <w:qFormat/>
    <w:rPr>
      <w:rFonts w:ascii="HY헤드라인M" w:hAnsi="HY헤드라인M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9">
    <w:name w:val="HWP  9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0">
    <w:name w:val="HWP  10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282828"/>
      <w:spacing w:val="8"/>
      <w:w w:val="100"/>
      <w:sz w:val="36"/>
      <w:u w:val="single"/>
      <w:em w:val="none"/>
    </w:rPr>
  </w:style>
  <w:style w:type="character" w:styleId="HWP11">
    <w:name w:val="HWP  11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282828"/>
      <w:spacing w:val="8"/>
      <w:w w:val="100"/>
      <w:sz w:val="32"/>
      <w:u w:val="single"/>
      <w:em w:val="none"/>
    </w:rPr>
  </w:style>
  <w:style w:type="character" w:styleId="HWP12">
    <w:name w:val="HWP  12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14">
    <w:name w:val="HWP  1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2"/>
      <w:w w:val="100"/>
      <w:sz w:val="12"/>
      <w:u w:val="none"/>
      <w:em w:val="none"/>
    </w:rPr>
  </w:style>
  <w:style w:type="character" w:styleId="HWP15">
    <w:name w:val="HWP  1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6">
    <w:name w:val="HWP  1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7">
    <w:name w:val="HWP  1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18">
    <w:name w:val="HWP  1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19">
    <w:name w:val="HWP  1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20">
    <w:name w:val="HWP  2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6"/>
      <w:w w:val="100"/>
      <w:sz w:val="12"/>
      <w:u w:val="none"/>
      <w:em w:val="none"/>
    </w:rPr>
  </w:style>
  <w:style w:type="character" w:styleId="HWP21">
    <w:name w:val="HWP  2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29"/>
      <w:w w:val="100"/>
      <w:sz w:val="20"/>
      <w:u w:val="none"/>
      <w:em w:val="none"/>
    </w:rPr>
  </w:style>
  <w:style w:type="character" w:styleId="HWP22">
    <w:name w:val="HWP  2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23">
    <w:name w:val="HWP  2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24">
    <w:name w:val="HWP  2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8"/>
      <w:w w:val="100"/>
      <w:sz w:val="20"/>
      <w:u w:val="none"/>
      <w:em w:val="none"/>
    </w:rPr>
  </w:style>
  <w:style w:type="character" w:styleId="HWP25">
    <w:name w:val="HWP  2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7"/>
      <w:w w:val="100"/>
      <w:sz w:val="12"/>
      <w:u w:val="none"/>
      <w:em w:val="none"/>
    </w:rPr>
  </w:style>
  <w:style w:type="character" w:styleId="HWP26">
    <w:name w:val="HWP  2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29"/>
      <w:w w:val="100"/>
      <w:sz w:val="20"/>
      <w:u w:val="none"/>
      <w:em w:val="none"/>
    </w:rPr>
  </w:style>
  <w:style w:type="character" w:styleId="HWP27">
    <w:name w:val="HWP  2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67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